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046583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046583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46583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Pr="00046583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E65B7" w:rsidRPr="00046583" w:rsidRDefault="005E65B7" w:rsidP="005E65B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46583" w:rsidRPr="00046583" w:rsidRDefault="00046583" w:rsidP="00046583">
      <w:pPr>
        <w:tabs>
          <w:tab w:val="left" w:pos="1134"/>
        </w:tabs>
        <w:spacing w:before="240" w:after="24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46583">
        <w:rPr>
          <w:rFonts w:ascii="Arial" w:hAnsi="Arial" w:cs="Arial"/>
          <w:b/>
          <w:sz w:val="20"/>
          <w:szCs w:val="20"/>
          <w:u w:val="single"/>
        </w:rPr>
        <w:t>Přístřešek na posypový materiál </w:t>
      </w:r>
      <w:proofErr w:type="spellStart"/>
      <w:r w:rsidRPr="00046583">
        <w:rPr>
          <w:rFonts w:ascii="Arial" w:hAnsi="Arial" w:cs="Arial"/>
          <w:b/>
          <w:sz w:val="20"/>
          <w:szCs w:val="20"/>
          <w:u w:val="single"/>
        </w:rPr>
        <w:t>stř</w:t>
      </w:r>
      <w:proofErr w:type="spellEnd"/>
      <w:r w:rsidRPr="00046583">
        <w:rPr>
          <w:rFonts w:ascii="Arial" w:hAnsi="Arial" w:cs="Arial"/>
          <w:b/>
          <w:sz w:val="20"/>
          <w:szCs w:val="20"/>
          <w:u w:val="single"/>
        </w:rPr>
        <w:t>. Okříšky - PD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46583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046583" w:rsidRPr="00046583" w:rsidRDefault="00046583" w:rsidP="00046583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46583">
        <w:rPr>
          <w:rFonts w:ascii="Arial" w:hAnsi="Arial" w:cs="Arial"/>
          <w:bCs/>
          <w:sz w:val="20"/>
          <w:szCs w:val="20"/>
        </w:rPr>
        <w:t>Geodetické zaměření předmětného území (výškopisné a polohopisné zaměření) v potřebném rozsahu</w:t>
      </w:r>
    </w:p>
    <w:p w:rsidR="00046583" w:rsidRPr="00046583" w:rsidRDefault="00046583" w:rsidP="00046583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46583">
        <w:rPr>
          <w:rFonts w:ascii="Arial" w:hAnsi="Arial" w:cs="Arial"/>
          <w:bCs/>
          <w:sz w:val="20"/>
          <w:szCs w:val="20"/>
        </w:rPr>
        <w:t xml:space="preserve">Vypracování inženýrsko-geologického průzkumu v místě stavby vč. návrhu technického řešení </w:t>
      </w:r>
    </w:p>
    <w:p w:rsidR="00046583" w:rsidRPr="00046583" w:rsidRDefault="00046583" w:rsidP="00046583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46583">
        <w:rPr>
          <w:rFonts w:ascii="Arial" w:hAnsi="Arial" w:cs="Arial"/>
          <w:bCs/>
          <w:sz w:val="20"/>
          <w:szCs w:val="20"/>
        </w:rPr>
        <w:t xml:space="preserve">Vypracování projektové dokumentace pro povolení záměru </w:t>
      </w:r>
    </w:p>
    <w:p w:rsidR="00046583" w:rsidRPr="00046583" w:rsidRDefault="00046583" w:rsidP="00046583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46583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povolení k příslušnému stavebnímu úřadu</w:t>
      </w:r>
    </w:p>
    <w:p w:rsidR="00046583" w:rsidRPr="00046583" w:rsidRDefault="00046583" w:rsidP="00046583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46583">
        <w:rPr>
          <w:rFonts w:ascii="Arial" w:hAnsi="Arial" w:cs="Arial"/>
          <w:bCs/>
          <w:sz w:val="20"/>
          <w:szCs w:val="20"/>
        </w:rPr>
        <w:t>Zajištění povolení záměru</w:t>
      </w:r>
    </w:p>
    <w:p w:rsidR="00046583" w:rsidRPr="00046583" w:rsidRDefault="00046583" w:rsidP="00046583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46583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046583" w:rsidRPr="00046583" w:rsidRDefault="00046583" w:rsidP="00046583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46583">
        <w:rPr>
          <w:rFonts w:ascii="Arial" w:hAnsi="Arial" w:cs="Arial"/>
          <w:bCs/>
          <w:sz w:val="20"/>
          <w:szCs w:val="20"/>
        </w:rPr>
        <w:t>Výkon dozoru projektanta při realizaci stavby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46583">
        <w:rPr>
          <w:rFonts w:ascii="Arial" w:hAnsi="Arial" w:cs="Arial"/>
          <w:bCs/>
          <w:sz w:val="20"/>
          <w:szCs w:val="20"/>
        </w:rPr>
        <w:t>Pozemek KSÚSV se nachází na adrese: U cihelny 53, Okříšky 675 21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  <w:r w:rsidRPr="00046583">
        <w:rPr>
          <w:rFonts w:ascii="Arial" w:hAnsi="Arial" w:cs="Arial"/>
          <w:bCs/>
          <w:sz w:val="20"/>
          <w:szCs w:val="20"/>
        </w:rPr>
        <w:t xml:space="preserve">Pozemek má </w:t>
      </w:r>
      <w:proofErr w:type="spellStart"/>
      <w:r w:rsidRPr="00046583">
        <w:rPr>
          <w:rFonts w:ascii="Arial" w:hAnsi="Arial" w:cs="Arial"/>
          <w:bCs/>
          <w:sz w:val="20"/>
          <w:szCs w:val="20"/>
        </w:rPr>
        <w:t>parc</w:t>
      </w:r>
      <w:proofErr w:type="spellEnd"/>
      <w:r w:rsidRPr="00046583">
        <w:rPr>
          <w:rFonts w:ascii="Arial" w:hAnsi="Arial" w:cs="Arial"/>
          <w:bCs/>
          <w:sz w:val="20"/>
          <w:szCs w:val="20"/>
        </w:rPr>
        <w:t xml:space="preserve">. </w:t>
      </w:r>
      <w:proofErr w:type="gramStart"/>
      <w:r w:rsidRPr="00046583">
        <w:rPr>
          <w:rFonts w:ascii="Arial" w:hAnsi="Arial" w:cs="Arial"/>
          <w:bCs/>
          <w:sz w:val="20"/>
          <w:szCs w:val="20"/>
        </w:rPr>
        <w:t>č.</w:t>
      </w:r>
      <w:proofErr w:type="gramEnd"/>
      <w:r w:rsidRPr="00046583">
        <w:rPr>
          <w:rFonts w:ascii="Arial" w:hAnsi="Arial" w:cs="Arial"/>
          <w:bCs/>
          <w:sz w:val="20"/>
          <w:szCs w:val="20"/>
        </w:rPr>
        <w:t>: 595/33 o výměře 4488 m</w:t>
      </w:r>
      <w:r w:rsidRPr="00046583"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46583"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 wp14:anchorId="38B43904" wp14:editId="74FC22AB">
            <wp:extent cx="2465070" cy="3761105"/>
            <wp:effectExtent l="0" t="318" r="0" b="0"/>
            <wp:docPr id="2" name="Obrázek 2" descr="C:\Users\pokorna\AppData\Local\Microsoft\Windows\INetCache\Content.Word\Snímek obrazovky 2024-10-24 094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pokorna\AppData\Local\Microsoft\Windows\INetCache\Content.Word\Snímek obrazovky 2024-10-24 0949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2465070" cy="376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583" w:rsidRPr="00046583" w:rsidRDefault="00046583" w:rsidP="00046583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046583">
        <w:rPr>
          <w:rFonts w:ascii="Arial" w:hAnsi="Arial" w:cs="Arial"/>
          <w:b/>
          <w:sz w:val="20"/>
          <w:szCs w:val="20"/>
          <w:u w:val="single"/>
        </w:rPr>
        <w:t>Požadavky objednatele</w:t>
      </w:r>
    </w:p>
    <w:p w:rsidR="00046583" w:rsidRPr="00046583" w:rsidRDefault="00046583" w:rsidP="00046583">
      <w:pPr>
        <w:spacing w:after="0"/>
        <w:rPr>
          <w:rFonts w:ascii="Arial" w:hAnsi="Arial" w:cs="Arial"/>
          <w:bCs/>
          <w:sz w:val="20"/>
          <w:szCs w:val="20"/>
        </w:rPr>
      </w:pPr>
      <w:r w:rsidRPr="00046583">
        <w:rPr>
          <w:rFonts w:ascii="Arial" w:hAnsi="Arial" w:cs="Arial"/>
          <w:bCs/>
          <w:sz w:val="20"/>
          <w:szCs w:val="20"/>
        </w:rPr>
        <w:t xml:space="preserve">Přístřešek </w:t>
      </w:r>
      <w:proofErr w:type="gramStart"/>
      <w:r w:rsidRPr="00046583">
        <w:rPr>
          <w:rFonts w:ascii="Arial" w:hAnsi="Arial" w:cs="Arial"/>
          <w:bCs/>
          <w:sz w:val="20"/>
          <w:szCs w:val="20"/>
        </w:rPr>
        <w:t>bude</w:t>
      </w:r>
      <w:proofErr w:type="gramEnd"/>
      <w:r w:rsidRPr="00046583">
        <w:rPr>
          <w:rFonts w:ascii="Arial" w:hAnsi="Arial" w:cs="Arial"/>
          <w:bCs/>
          <w:sz w:val="20"/>
          <w:szCs w:val="20"/>
        </w:rPr>
        <w:t xml:space="preserve"> situován </w:t>
      </w:r>
      <w:proofErr w:type="gramStart"/>
      <w:r w:rsidRPr="00046583">
        <w:rPr>
          <w:rFonts w:ascii="Arial" w:hAnsi="Arial" w:cs="Arial"/>
          <w:bCs/>
          <w:sz w:val="20"/>
          <w:szCs w:val="20"/>
        </w:rPr>
        <w:t>viz</w:t>
      </w:r>
      <w:proofErr w:type="gramEnd"/>
      <w:r w:rsidRPr="00046583">
        <w:rPr>
          <w:rFonts w:ascii="Arial" w:hAnsi="Arial" w:cs="Arial"/>
          <w:bCs/>
          <w:sz w:val="20"/>
          <w:szCs w:val="20"/>
        </w:rPr>
        <w:t xml:space="preserve"> zákres do mapy výše. Z důvodu zajištění správného výškového i polohového osazení objektu na stávající pozemek bude nutné v rámci projekční přípravy zajistit geodetické zaměření pozemku s návazností na stávající budovy.</w:t>
      </w:r>
    </w:p>
    <w:p w:rsidR="00046583" w:rsidRPr="00046583" w:rsidRDefault="00046583" w:rsidP="00046583">
      <w:pPr>
        <w:tabs>
          <w:tab w:val="center" w:pos="4344"/>
          <w:tab w:val="right" w:pos="510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bCs/>
          <w:sz w:val="20"/>
          <w:szCs w:val="20"/>
        </w:rPr>
        <w:t xml:space="preserve">   Jedná se o objekt obdélníkového půdorysu, rozdělený do čtyř kójí pro uskladnění posypového materiálu s kapacitou na okrajích na drť a ŠD po 100 tunách, uprostřed na drť frakce 2/11 v množství 1200 tun a písku frakce 0/4 v množství 200 tun. Přístřešek bude napojen na rozvod el. </w:t>
      </w:r>
      <w:proofErr w:type="gramStart"/>
      <w:r w:rsidRPr="00046583">
        <w:rPr>
          <w:rFonts w:ascii="Arial" w:hAnsi="Arial" w:cs="Arial"/>
          <w:bCs/>
          <w:sz w:val="20"/>
          <w:szCs w:val="20"/>
        </w:rPr>
        <w:t>energie</w:t>
      </w:r>
      <w:proofErr w:type="gramEnd"/>
      <w:r w:rsidRPr="00046583">
        <w:rPr>
          <w:rFonts w:ascii="Arial" w:hAnsi="Arial" w:cs="Arial"/>
          <w:bCs/>
          <w:sz w:val="20"/>
          <w:szCs w:val="20"/>
        </w:rPr>
        <w:t xml:space="preserve">, k dispozici bude zásuvka 230V a 400V, jednotlivé boxy budou osvětleny samostatným svítidlem včetně osvětlení prostoru před přístřeškem. Dešťové vody budou svedeny do okapových žlabů na zadní stranu přístřešku, dále do nové kanalizační přípojky zaústěné do </w:t>
      </w:r>
      <w:proofErr w:type="spellStart"/>
      <w:r w:rsidRPr="00046583">
        <w:rPr>
          <w:rFonts w:ascii="Arial" w:hAnsi="Arial" w:cs="Arial"/>
          <w:bCs/>
          <w:sz w:val="20"/>
          <w:szCs w:val="20"/>
        </w:rPr>
        <w:t>nápojné</w:t>
      </w:r>
      <w:proofErr w:type="spellEnd"/>
      <w:r w:rsidRPr="00046583">
        <w:rPr>
          <w:rFonts w:ascii="Arial" w:hAnsi="Arial" w:cs="Arial"/>
          <w:bCs/>
          <w:sz w:val="20"/>
          <w:szCs w:val="20"/>
        </w:rPr>
        <w:t xml:space="preserve"> šachty na jednotné kanalizaci před areálem. </w:t>
      </w:r>
    </w:p>
    <w:p w:rsidR="00046583" w:rsidRDefault="00046583" w:rsidP="00046583">
      <w:pPr>
        <w:spacing w:after="0"/>
        <w:rPr>
          <w:rFonts w:ascii="Arial" w:hAnsi="Arial" w:cs="Arial"/>
          <w:bCs/>
          <w:sz w:val="20"/>
          <w:szCs w:val="20"/>
        </w:rPr>
      </w:pPr>
    </w:p>
    <w:p w:rsidR="005F3968" w:rsidRPr="00046583" w:rsidRDefault="005F3968" w:rsidP="00046583">
      <w:pPr>
        <w:spacing w:after="0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046583" w:rsidRPr="00046583" w:rsidRDefault="00046583" w:rsidP="00046583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046583">
        <w:rPr>
          <w:rFonts w:ascii="Arial" w:hAnsi="Arial" w:cs="Arial"/>
          <w:b/>
          <w:sz w:val="20"/>
          <w:szCs w:val="20"/>
          <w:u w:val="single"/>
        </w:rPr>
        <w:lastRenderedPageBreak/>
        <w:t>Technické podmínky</w:t>
      </w:r>
    </w:p>
    <w:p w:rsidR="00046583" w:rsidRPr="00046583" w:rsidRDefault="00046583" w:rsidP="0004658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46583">
        <w:rPr>
          <w:rFonts w:ascii="Arial" w:hAnsi="Arial" w:cs="Arial"/>
          <w:b/>
          <w:sz w:val="20"/>
          <w:szCs w:val="20"/>
          <w:u w:val="single"/>
        </w:rPr>
        <w:t>Vypracování dokumentace pro povolení záměru v souladu s § 157 odst. (2) Stavebního zákona 283/2021</w:t>
      </w:r>
    </w:p>
    <w:p w:rsidR="00046583" w:rsidRPr="00046583" w:rsidRDefault="00046583" w:rsidP="000465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046583">
        <w:rPr>
          <w:rFonts w:ascii="Arial" w:hAnsi="Arial" w:cs="Arial"/>
          <w:sz w:val="20"/>
          <w:szCs w:val="20"/>
        </w:rPr>
        <w:t xml:space="preserve">Rozsah a obsah dokumentace je stanoven </w:t>
      </w:r>
      <w:r w:rsidRPr="00046583">
        <w:rPr>
          <w:rFonts w:ascii="Arial" w:eastAsia="Times New Roman" w:hAnsi="Arial" w:cs="Arial"/>
          <w:sz w:val="20"/>
          <w:szCs w:val="20"/>
          <w:lang w:eastAsia="cs-CZ"/>
        </w:rPr>
        <w:t xml:space="preserve">ke dni 30. 6. 2027, Zákonem č. 283/2021 Sb. - Stavební zákon, Zákonem č. 284/2021 Sb. - Zákon, kterým se mění některé zákony v souvislosti s přijetím stavebního zákona, Zákonem č. 195/2022 Sb. - Zákon, kterým se mění zákon č. 283/2021 Sb., stavební zákon, Zákonem č. 152/2023 Sb. - Zákon, kterým se mění zákon č. 283/2021 Sb., stavební zákon, ve znění zákona č. 195/2022 Sb., a některé další související zákony, vyhláškou č. 131/2024 Sb. - o rozsahu a obsahu projektové dokumentace staveb a vyhláška č. 169/2016 Sb., o stanovení rozsahu dokumentace veřejné zakázky na stavební práce a soupisu stavebních prací, dodávek a služeb s výkazem výměr, Zákon č. 541/2020 Sb. - Zákon o odpadech, Zákon č. 318/2025 </w:t>
      </w:r>
      <w:proofErr w:type="spellStart"/>
      <w:proofErr w:type="gramStart"/>
      <w:r w:rsidRPr="00046583">
        <w:rPr>
          <w:rFonts w:ascii="Arial" w:eastAsia="Times New Roman" w:hAnsi="Arial" w:cs="Arial"/>
          <w:sz w:val="20"/>
          <w:szCs w:val="20"/>
          <w:lang w:eastAsia="cs-CZ"/>
        </w:rPr>
        <w:t>Sb.Zákon</w:t>
      </w:r>
      <w:proofErr w:type="spellEnd"/>
      <w:proofErr w:type="gramEnd"/>
      <w:r w:rsidRPr="00046583">
        <w:rPr>
          <w:rFonts w:ascii="Arial" w:eastAsia="Times New Roman" w:hAnsi="Arial" w:cs="Arial"/>
          <w:sz w:val="20"/>
          <w:szCs w:val="20"/>
          <w:lang w:eastAsia="cs-CZ"/>
        </w:rPr>
        <w:t xml:space="preserve"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Sb. Nařízení vlády, kterým se mění nařízení vlády č. 591/2006 Sb., o bližších minimálních požadavcích na bezpečnost a ochranu zdraví při práci na staveništích, ve znění nařízení vlády č. 136/2016 </w:t>
      </w:r>
      <w:proofErr w:type="spellStart"/>
      <w:proofErr w:type="gramStart"/>
      <w:r w:rsidRPr="00046583">
        <w:rPr>
          <w:rFonts w:ascii="Arial" w:eastAsia="Times New Roman" w:hAnsi="Arial" w:cs="Arial"/>
          <w:sz w:val="20"/>
          <w:szCs w:val="20"/>
          <w:lang w:eastAsia="cs-CZ"/>
        </w:rPr>
        <w:t>Sb.,vše</w:t>
      </w:r>
      <w:proofErr w:type="spellEnd"/>
      <w:proofErr w:type="gramEnd"/>
      <w:r w:rsidRPr="00046583">
        <w:rPr>
          <w:rFonts w:ascii="Arial" w:eastAsia="Times New Roman" w:hAnsi="Arial" w:cs="Arial"/>
          <w:sz w:val="20"/>
          <w:szCs w:val="20"/>
          <w:lang w:eastAsia="cs-CZ"/>
        </w:rPr>
        <w:t xml:space="preserve"> v platném znění a bude obsahovat skladbu PD v souladu a rozsahu vyhlášky 131/2024 a dále:</w:t>
      </w:r>
    </w:p>
    <w:p w:rsidR="00046583" w:rsidRPr="00046583" w:rsidRDefault="00046583" w:rsidP="0004658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Odhad stavebních nákladů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046583">
        <w:rPr>
          <w:rFonts w:ascii="Arial" w:hAnsi="Arial" w:cs="Arial"/>
          <w:sz w:val="20"/>
          <w:szCs w:val="20"/>
        </w:rPr>
        <w:t>-      Vyřešení</w:t>
      </w:r>
      <w:proofErr w:type="gramEnd"/>
      <w:r w:rsidRPr="00046583">
        <w:rPr>
          <w:rFonts w:ascii="Arial" w:hAnsi="Arial" w:cs="Arial"/>
          <w:sz w:val="20"/>
          <w:szCs w:val="20"/>
        </w:rPr>
        <w:t xml:space="preserve"> nakládání s odpady dle Zákona č. 541/2020 Sb. 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046583">
        <w:rPr>
          <w:rFonts w:ascii="Arial" w:hAnsi="Arial" w:cs="Arial"/>
          <w:sz w:val="20"/>
          <w:szCs w:val="20"/>
        </w:rPr>
        <w:t>-     Zajištění</w:t>
      </w:r>
      <w:proofErr w:type="gramEnd"/>
      <w:r w:rsidRPr="00046583">
        <w:rPr>
          <w:rFonts w:ascii="Arial" w:hAnsi="Arial" w:cs="Arial"/>
          <w:sz w:val="20"/>
          <w:szCs w:val="20"/>
        </w:rPr>
        <w:t xml:space="preserve"> projednání, potřebných kladných vyjádření a souhlasných stanovisek všech 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         orgánů státní správy a samosprávy, organizací a správců dotčených inženýrských sítí pro 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         vydání povolení záměru, vč. případného následného zapracování změn do projektové dokumentace</w:t>
      </w:r>
    </w:p>
    <w:p w:rsidR="00046583" w:rsidRPr="00046583" w:rsidRDefault="00046583" w:rsidP="00046583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046583">
        <w:rPr>
          <w:rFonts w:ascii="Arial" w:hAnsi="Arial" w:cs="Arial"/>
          <w:bCs/>
          <w:sz w:val="20"/>
          <w:szCs w:val="20"/>
        </w:rPr>
        <w:t>-  Zpracování</w:t>
      </w:r>
      <w:proofErr w:type="gramEnd"/>
      <w:r w:rsidRPr="00046583">
        <w:rPr>
          <w:rFonts w:ascii="Arial" w:hAnsi="Arial" w:cs="Arial"/>
          <w:bCs/>
          <w:sz w:val="20"/>
          <w:szCs w:val="20"/>
        </w:rPr>
        <w:t xml:space="preserve"> žádosti o vydání povolení záměru, včetně všech požadovaných příloh, vyjádření a stanovisek a podání řádné žádostí k příslušným stavebním úřadům dle jednotlivých stavebních objektů a příslušnosti k úřadu, který stavební objekty povoluje. </w:t>
      </w:r>
    </w:p>
    <w:p w:rsidR="00046583" w:rsidRPr="00046583" w:rsidRDefault="00046583" w:rsidP="00046583">
      <w:pPr>
        <w:pStyle w:val="Odstavecseseznamem"/>
        <w:numPr>
          <w:ilvl w:val="0"/>
          <w:numId w:val="21"/>
        </w:num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046583">
        <w:rPr>
          <w:rFonts w:ascii="Arial" w:hAnsi="Arial" w:cs="Arial"/>
          <w:bCs/>
          <w:sz w:val="20"/>
          <w:szCs w:val="20"/>
        </w:rPr>
        <w:t>Před podáním žádosti na příslušný stavební úřad, je zhotovitel povinen odsouhlasit si tuto žádost včetně všech příloh se zástupci objednatele.</w:t>
      </w:r>
    </w:p>
    <w:p w:rsidR="00046583" w:rsidRPr="00046583" w:rsidRDefault="00046583" w:rsidP="00046583">
      <w:pPr>
        <w:numPr>
          <w:ilvl w:val="0"/>
          <w:numId w:val="21"/>
        </w:numPr>
        <w:spacing w:after="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46583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povolení záměru, zajištění vydání povolení stavby včetně potřebné inženýrské činnosti (např. dořešení změn PD v průběhu řízení o povolení záměru), získání doložky nabytí právní moci Povolení stavby </w:t>
      </w:r>
    </w:p>
    <w:p w:rsidR="00046583" w:rsidRPr="00046583" w:rsidRDefault="00046583" w:rsidP="00046583">
      <w:pPr>
        <w:pStyle w:val="Odstavecseseznamem"/>
        <w:numPr>
          <w:ilvl w:val="0"/>
          <w:numId w:val="21"/>
        </w:numPr>
        <w:tabs>
          <w:tab w:val="num" w:pos="-1560"/>
        </w:tabs>
        <w:spacing w:after="240"/>
        <w:jc w:val="both"/>
        <w:rPr>
          <w:rFonts w:ascii="Arial" w:hAnsi="Arial" w:cs="Arial"/>
          <w:bCs/>
          <w:sz w:val="20"/>
          <w:szCs w:val="20"/>
        </w:rPr>
      </w:pPr>
      <w:r w:rsidRPr="00046583">
        <w:rPr>
          <w:rFonts w:ascii="Arial" w:hAnsi="Arial" w:cs="Arial"/>
          <w:bCs/>
          <w:sz w:val="20"/>
          <w:szCs w:val="20"/>
          <w:u w:val="single"/>
        </w:rPr>
        <w:t xml:space="preserve">Po vydání Pravomocného povolení záměru bude předáno objednateli: </w:t>
      </w:r>
      <w:r w:rsidRPr="00046583">
        <w:rPr>
          <w:rFonts w:ascii="Arial" w:hAnsi="Arial" w:cs="Arial"/>
          <w:sz w:val="20"/>
          <w:szCs w:val="20"/>
        </w:rPr>
        <w:t>1 x originál každého povolení stavebního záměru (PS) v písemné podobě s vyznačením nabytí právní moci + projektová dokumentace pro povolení stavebního záměru (DPS) ověřená stavebním úřadem.</w:t>
      </w:r>
    </w:p>
    <w:p w:rsidR="00046583" w:rsidRPr="00046583" w:rsidRDefault="00046583" w:rsidP="0004658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Dokumentace bude projednána na výrobních výborech (minimálně 2x) za účasti všech dotčených touto stavbou. Před dokončením a odevzdáním každého stupně projektové dokumentace (tj. DPS a PDPS) budou svolány tzv. </w:t>
      </w:r>
      <w:proofErr w:type="spellStart"/>
      <w:r w:rsidRPr="00046583">
        <w:rPr>
          <w:rFonts w:ascii="Arial" w:hAnsi="Arial" w:cs="Arial"/>
          <w:sz w:val="20"/>
          <w:szCs w:val="20"/>
        </w:rPr>
        <w:t>technicko-dokumentační</w:t>
      </w:r>
      <w:proofErr w:type="spellEnd"/>
      <w:r w:rsidRPr="00046583">
        <w:rPr>
          <w:rFonts w:ascii="Arial" w:hAnsi="Arial" w:cs="Arial"/>
          <w:sz w:val="20"/>
          <w:szCs w:val="20"/>
        </w:rPr>
        <w:t xml:space="preserve"> komise (TDK) za účasti všech dotčených touto stavbou. Zadavateli bude zhotovitelem v dostatečném </w:t>
      </w:r>
      <w:proofErr w:type="gramStart"/>
      <w:r w:rsidRPr="00046583">
        <w:rPr>
          <w:rFonts w:ascii="Arial" w:hAnsi="Arial" w:cs="Arial"/>
          <w:sz w:val="20"/>
          <w:szCs w:val="20"/>
        </w:rPr>
        <w:t>předstihu   (7 dní</w:t>
      </w:r>
      <w:proofErr w:type="gramEnd"/>
      <w:r w:rsidRPr="00046583">
        <w:rPr>
          <w:rFonts w:ascii="Arial" w:hAnsi="Arial" w:cs="Arial"/>
          <w:sz w:val="20"/>
          <w:szCs w:val="20"/>
        </w:rPr>
        <w:t>) zaslána projektová dokumentace jako podklad pro TDK. Výrobní výbory a TDK svolává a zápis vyhotovuje zhotovitel projektové dokumentace. Výrobní výbory a TDK budou svolávány v sídle objednatele, pokud nebude dohodnuto jinak.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  <w:sz w:val="20"/>
          <w:szCs w:val="20"/>
          <w:highlight w:val="yellow"/>
        </w:rPr>
      </w:pPr>
      <w:r w:rsidRPr="00046583">
        <w:rPr>
          <w:rFonts w:ascii="Arial" w:hAnsi="Arial" w:cs="Arial"/>
          <w:b/>
          <w:sz w:val="20"/>
          <w:szCs w:val="20"/>
        </w:rPr>
        <w:t>Po definitivním odsouhlasení zadavatelem bude následně projektová dokumentace ve stupni pro vydání povolení stavebního záměru (DPS) předána zadavateli v tištěné podobě a na CD (v plném rozsahu tištěné podoby) v následujícím počtu:</w:t>
      </w:r>
    </w:p>
    <w:p w:rsidR="00046583" w:rsidRPr="00046583" w:rsidRDefault="00046583" w:rsidP="0004658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DPS - 2x v tištěné podobě, vč. dokladové části ve všech </w:t>
      </w:r>
      <w:proofErr w:type="spellStart"/>
      <w:r w:rsidRPr="00046583">
        <w:rPr>
          <w:rFonts w:ascii="Arial" w:hAnsi="Arial" w:cs="Arial"/>
          <w:sz w:val="20"/>
          <w:szCs w:val="20"/>
        </w:rPr>
        <w:t>paré</w:t>
      </w:r>
      <w:proofErr w:type="spellEnd"/>
      <w:r w:rsidRPr="00046583">
        <w:rPr>
          <w:rFonts w:ascii="Arial" w:hAnsi="Arial" w:cs="Arial"/>
          <w:sz w:val="20"/>
          <w:szCs w:val="20"/>
        </w:rPr>
        <w:t>, 1x v digitální ve formátu *.</w:t>
      </w:r>
      <w:proofErr w:type="spellStart"/>
      <w:r w:rsidRPr="00046583">
        <w:rPr>
          <w:rFonts w:ascii="Arial" w:hAnsi="Arial" w:cs="Arial"/>
          <w:sz w:val="20"/>
          <w:szCs w:val="20"/>
        </w:rPr>
        <w:t>dwg</w:t>
      </w:r>
      <w:proofErr w:type="spellEnd"/>
      <w:r w:rsidRPr="00046583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046583">
        <w:rPr>
          <w:rFonts w:ascii="Arial" w:hAnsi="Arial" w:cs="Arial"/>
          <w:sz w:val="20"/>
          <w:szCs w:val="20"/>
        </w:rPr>
        <w:t>pdf</w:t>
      </w:r>
      <w:proofErr w:type="spellEnd"/>
      <w:r w:rsidRPr="00046583">
        <w:rPr>
          <w:rFonts w:ascii="Arial" w:hAnsi="Arial" w:cs="Arial"/>
          <w:sz w:val="20"/>
          <w:szCs w:val="20"/>
        </w:rPr>
        <w:t xml:space="preserve"> </w:t>
      </w:r>
    </w:p>
    <w:p w:rsidR="00046583" w:rsidRPr="00046583" w:rsidRDefault="00046583" w:rsidP="0004658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Odhad stavebních nákladů – 1x v digitální ve formátu *.</w:t>
      </w:r>
      <w:proofErr w:type="spellStart"/>
      <w:r w:rsidRPr="00046583">
        <w:rPr>
          <w:rFonts w:ascii="Arial" w:hAnsi="Arial" w:cs="Arial"/>
          <w:sz w:val="20"/>
          <w:szCs w:val="20"/>
        </w:rPr>
        <w:t>pdf</w:t>
      </w:r>
      <w:proofErr w:type="spellEnd"/>
      <w:r w:rsidRPr="00046583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046583">
        <w:rPr>
          <w:rFonts w:ascii="Arial" w:hAnsi="Arial" w:cs="Arial"/>
          <w:sz w:val="20"/>
          <w:szCs w:val="20"/>
        </w:rPr>
        <w:t>xls</w:t>
      </w:r>
      <w:proofErr w:type="spellEnd"/>
    </w:p>
    <w:p w:rsidR="00046583" w:rsidRPr="00046583" w:rsidRDefault="00046583" w:rsidP="00046583">
      <w:pPr>
        <w:rPr>
          <w:rFonts w:ascii="Arial" w:hAnsi="Arial" w:cs="Arial"/>
          <w:b/>
          <w:sz w:val="20"/>
          <w:szCs w:val="20"/>
          <w:u w:val="single"/>
        </w:rPr>
      </w:pPr>
      <w:r w:rsidRPr="00046583">
        <w:rPr>
          <w:rFonts w:ascii="Arial" w:hAnsi="Arial" w:cs="Arial"/>
          <w:b/>
          <w:sz w:val="20"/>
          <w:szCs w:val="20"/>
          <w:u w:val="single"/>
        </w:rPr>
        <w:t>Vypracování dokumentace pro provádění stavby</w:t>
      </w:r>
    </w:p>
    <w:p w:rsidR="00046583" w:rsidRPr="00046583" w:rsidRDefault="00046583" w:rsidP="000465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046583">
        <w:rPr>
          <w:rFonts w:ascii="Arial" w:hAnsi="Arial" w:cs="Arial"/>
          <w:sz w:val="20"/>
          <w:szCs w:val="20"/>
        </w:rPr>
        <w:t xml:space="preserve">Rozsah a obsah dokumentace je stanoven vyhláškou o dokumentaci staveb 131/2024 Sb., </w:t>
      </w:r>
      <w:r w:rsidRPr="00046583">
        <w:rPr>
          <w:rFonts w:ascii="Arial" w:eastAsia="Times New Roman" w:hAnsi="Arial" w:cs="Arial"/>
          <w:sz w:val="20"/>
          <w:szCs w:val="20"/>
          <w:lang w:eastAsia="cs-CZ"/>
        </w:rPr>
        <w:t xml:space="preserve">Zákonem č. 283/2021 Sb. - Stavební zákon, Zákonem č. 284/2021 Sb. - Zákon, kterým se mění některé zákony v souvislosti s přijetím stavebního zákona, Zákonem č. 195/2022 Sb. - Zákon, kterým se mění zákon č. 283/2021 Sb., stavební zákon, Zákonem č. 152/2023 Sb. - Zákon, kterým se mění zákon č. 283/2021 Sb., stavební zákon, ve znění zákona č. 195/2022 Sb., a některé další související zákony, a vyhláška č. </w:t>
      </w:r>
      <w:r w:rsidRPr="00046583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169/2016 Sb., o stanovení rozsahu dokumentace veřejné zakázky na stavební práce a soupisu stavebních prací, dodávek a služeb s výkazem výměr, Zákon č. 541/2020 Sb. - Zákon o odpadech, Zákon č. 318/2025 </w:t>
      </w:r>
      <w:proofErr w:type="spellStart"/>
      <w:proofErr w:type="gramStart"/>
      <w:r w:rsidRPr="00046583">
        <w:rPr>
          <w:rFonts w:ascii="Arial" w:eastAsia="Times New Roman" w:hAnsi="Arial" w:cs="Arial"/>
          <w:sz w:val="20"/>
          <w:szCs w:val="20"/>
          <w:lang w:eastAsia="cs-CZ"/>
        </w:rPr>
        <w:t>Sb.Zákon</w:t>
      </w:r>
      <w:proofErr w:type="spellEnd"/>
      <w:proofErr w:type="gramEnd"/>
      <w:r w:rsidRPr="00046583">
        <w:rPr>
          <w:rFonts w:ascii="Arial" w:eastAsia="Times New Roman" w:hAnsi="Arial" w:cs="Arial"/>
          <w:sz w:val="20"/>
          <w:szCs w:val="20"/>
          <w:lang w:eastAsia="cs-CZ"/>
        </w:rPr>
        <w:t xml:space="preserve"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</w:t>
      </w:r>
      <w:proofErr w:type="spellStart"/>
      <w:r w:rsidRPr="00046583">
        <w:rPr>
          <w:rFonts w:ascii="Arial" w:eastAsia="Times New Roman" w:hAnsi="Arial" w:cs="Arial"/>
          <w:sz w:val="20"/>
          <w:szCs w:val="20"/>
          <w:lang w:eastAsia="cs-CZ"/>
        </w:rPr>
        <w:t>Sb.Nařízení</w:t>
      </w:r>
      <w:proofErr w:type="spellEnd"/>
      <w:r w:rsidRPr="00046583">
        <w:rPr>
          <w:rFonts w:ascii="Arial" w:eastAsia="Times New Roman" w:hAnsi="Arial" w:cs="Arial"/>
          <w:sz w:val="20"/>
          <w:szCs w:val="20"/>
          <w:lang w:eastAsia="cs-CZ"/>
        </w:rPr>
        <w:t xml:space="preserve"> vlády, kterým se mění nařízení vlády č. 591/2006 Sb., o bližších minimálních požadavcích na bezpečnost a ochranu zdraví při práci na staveništích, ve znění nařízení vlády č. 136/2016 Sb., vše v platném znění a bude obsahovat skladbu PD v souladu a rozsahu vyhlášky 131/2024.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    </w:t>
      </w:r>
      <w:r w:rsidRPr="00046583">
        <w:rPr>
          <w:rFonts w:ascii="Arial" w:hAnsi="Arial" w:cs="Arial"/>
          <w:color w:val="000000"/>
          <w:sz w:val="20"/>
          <w:szCs w:val="20"/>
          <w:lang w:eastAsia="cs-CZ"/>
        </w:rPr>
        <w:t xml:space="preserve">Projektant se zavazuje prostřednictvím zadavatele stavby k předání veškerých podkladů a informací určenému koordinátorovi BOZP, kterým je fyzická nebo právnická osoba určená zadavatelem stavby k provádění stanovených činností při přípravě stavby pro jeho činnost, zejména pro zpracování plánu bezpečnosti a ochrany zdraví při práci na staveništi (dále jen „plán“), včetně informace o fyzických osobách, které se mohou s jeho vědomím zdržovat na staveništi, poskytovat mu potřebnou součinnost  po celou dobu přípravy stavby v souladu s odst. </w:t>
      </w:r>
      <w:r w:rsidRPr="00046583">
        <w:rPr>
          <w:rFonts w:ascii="Arial" w:hAnsi="Arial" w:cs="Arial"/>
          <w:bCs/>
          <w:color w:val="000000"/>
          <w:sz w:val="20"/>
          <w:szCs w:val="20"/>
          <w:lang w:eastAsia="cs-CZ"/>
        </w:rPr>
        <w:t>(4</w:t>
      </w:r>
      <w:r w:rsidRPr="00046583">
        <w:rPr>
          <w:rFonts w:ascii="Arial" w:hAnsi="Arial" w:cs="Arial"/>
          <w:bCs/>
          <w:sz w:val="20"/>
          <w:szCs w:val="20"/>
          <w:lang w:eastAsia="cs-CZ"/>
        </w:rPr>
        <w:t>)</w:t>
      </w:r>
      <w:r w:rsidRPr="00046583">
        <w:rPr>
          <w:rFonts w:ascii="Arial" w:hAnsi="Arial" w:cs="Arial"/>
          <w:sz w:val="20"/>
          <w:szCs w:val="20"/>
          <w:lang w:eastAsia="cs-CZ"/>
        </w:rPr>
        <w:t> </w:t>
      </w:r>
      <w:r w:rsidRPr="00046583">
        <w:rPr>
          <w:rFonts w:ascii="Arial" w:hAnsi="Arial" w:cs="Arial"/>
          <w:bCs/>
          <w:sz w:val="20"/>
          <w:szCs w:val="20"/>
          <w:lang w:eastAsia="cs-CZ"/>
        </w:rPr>
        <w:t>§ 14</w:t>
      </w:r>
      <w:r w:rsidRPr="00046583">
        <w:rPr>
          <w:rFonts w:ascii="Arial" w:hAnsi="Arial" w:cs="Arial"/>
          <w:sz w:val="20"/>
          <w:szCs w:val="20"/>
        </w:rPr>
        <w:t xml:space="preserve"> Zákona č. 309/2006 Sb.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v souladu se Zákonem č. 318/2025 </w:t>
      </w:r>
      <w:proofErr w:type="spellStart"/>
      <w:proofErr w:type="gramStart"/>
      <w:r w:rsidRPr="00046583">
        <w:rPr>
          <w:rFonts w:ascii="Arial" w:hAnsi="Arial" w:cs="Arial"/>
          <w:sz w:val="20"/>
          <w:szCs w:val="20"/>
        </w:rPr>
        <w:t>Sb.Zákon</w:t>
      </w:r>
      <w:proofErr w:type="spellEnd"/>
      <w:proofErr w:type="gramEnd"/>
      <w:r w:rsidRPr="00046583">
        <w:rPr>
          <w:rFonts w:ascii="Arial" w:hAnsi="Arial" w:cs="Arial"/>
          <w:sz w:val="20"/>
          <w:szCs w:val="20"/>
        </w:rPr>
        <w:t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 Nařízení vlády č. 319/2025 Sb., Nařízením vlády, kterým se mění nařízení vlády č. 591/2006 Sb., o bližších minimálních požadavcích na bezpečnost a ochranu zdraví při práci na staveništích, ve znění nařízení vlády č. 136/2016 Sb., a další související zákony</w:t>
      </w:r>
      <w:r w:rsidRPr="00046583">
        <w:rPr>
          <w:rFonts w:ascii="Arial" w:hAnsi="Arial" w:cs="Arial"/>
          <w:color w:val="000000"/>
          <w:sz w:val="20"/>
          <w:szCs w:val="20"/>
          <w:lang w:eastAsia="cs-CZ"/>
        </w:rPr>
        <w:t>. Dále předloží zpracovatel PD: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046583">
        <w:rPr>
          <w:rFonts w:ascii="Arial" w:hAnsi="Arial" w:cs="Arial"/>
          <w:sz w:val="20"/>
          <w:szCs w:val="20"/>
        </w:rPr>
        <w:t>-      Neoceněný</w:t>
      </w:r>
      <w:proofErr w:type="gramEnd"/>
      <w:r w:rsidRPr="00046583">
        <w:rPr>
          <w:rFonts w:ascii="Arial" w:hAnsi="Arial" w:cs="Arial"/>
          <w:sz w:val="20"/>
          <w:szCs w:val="20"/>
        </w:rPr>
        <w:t xml:space="preserve"> soupis prací, oceněný soupis prací (kontrolní rozpočet pro potřeby 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       zadavatele), soupis prací bude zpracován v rozpočtovém programu </w:t>
      </w:r>
      <w:proofErr w:type="spellStart"/>
      <w:r w:rsidRPr="00046583">
        <w:rPr>
          <w:rFonts w:ascii="Arial" w:hAnsi="Arial" w:cs="Arial"/>
          <w:sz w:val="20"/>
          <w:szCs w:val="20"/>
        </w:rPr>
        <w:t>Aspe</w:t>
      </w:r>
      <w:proofErr w:type="spellEnd"/>
      <w:r w:rsidRPr="00046583">
        <w:rPr>
          <w:rFonts w:ascii="Arial" w:hAnsi="Arial" w:cs="Arial"/>
          <w:sz w:val="20"/>
          <w:szCs w:val="20"/>
        </w:rPr>
        <w:t xml:space="preserve"> (v oborovém 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       třídníku stavebních konstrukcí OTSKP) v souladu s vyhláškou č. 169/2016 Sb., o stanovení rozsahu dokumentace veřejné zakázky na stavební práce a soupisu stavebních prací, dodávek a služeb s výkazem výměr.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046583" w:rsidRPr="00046583" w:rsidRDefault="00046583" w:rsidP="00046583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Dokumentace bude projednána na výrobních výborech (minimálně 2x) dotčených touto stavbou, které svolává a zápis vyhotovuje zhotovitel projektové dokumentace včetně TDK. Před dokončením a odevzdáním stupně projektové dokumentace  PDPS bude svolána tzv. </w:t>
      </w:r>
      <w:proofErr w:type="spellStart"/>
      <w:r w:rsidRPr="00046583">
        <w:rPr>
          <w:rFonts w:ascii="Arial" w:hAnsi="Arial" w:cs="Arial"/>
          <w:sz w:val="20"/>
          <w:szCs w:val="20"/>
        </w:rPr>
        <w:t>technicko-dokumentační</w:t>
      </w:r>
      <w:proofErr w:type="spellEnd"/>
      <w:r w:rsidRPr="00046583">
        <w:rPr>
          <w:rFonts w:ascii="Arial" w:hAnsi="Arial" w:cs="Arial"/>
          <w:sz w:val="20"/>
          <w:szCs w:val="20"/>
        </w:rPr>
        <w:t xml:space="preserve"> komise (TDK) za účasti všech dotčených touto stavbou. Zadavateli bude zhotovitelem v dostatečném </w:t>
      </w:r>
      <w:proofErr w:type="gramStart"/>
      <w:r w:rsidRPr="00046583">
        <w:rPr>
          <w:rFonts w:ascii="Arial" w:hAnsi="Arial" w:cs="Arial"/>
          <w:sz w:val="20"/>
          <w:szCs w:val="20"/>
        </w:rPr>
        <w:t>předstihu   (7 dní</w:t>
      </w:r>
      <w:proofErr w:type="gramEnd"/>
      <w:r w:rsidRPr="00046583">
        <w:rPr>
          <w:rFonts w:ascii="Arial" w:hAnsi="Arial" w:cs="Arial"/>
          <w:sz w:val="20"/>
          <w:szCs w:val="20"/>
        </w:rPr>
        <w:t>) zaslána projektová dokumentace jako podklad pro TDK. Výrobní výbory a TDK budou svolávány v sídle objednatele, pokud nebude dohodnuto jinak.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046583">
        <w:rPr>
          <w:rFonts w:ascii="Arial" w:hAnsi="Arial" w:cs="Arial"/>
          <w:b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046583" w:rsidRPr="00046583" w:rsidRDefault="00046583" w:rsidP="0004658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PDPS - 3x v tištěné podobě, 1x v digitální ve formátu *.</w:t>
      </w:r>
      <w:proofErr w:type="spellStart"/>
      <w:r w:rsidRPr="00046583">
        <w:rPr>
          <w:rFonts w:ascii="Arial" w:hAnsi="Arial" w:cs="Arial"/>
          <w:sz w:val="20"/>
          <w:szCs w:val="20"/>
        </w:rPr>
        <w:t>dwg</w:t>
      </w:r>
      <w:proofErr w:type="spellEnd"/>
      <w:r w:rsidRPr="00046583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046583">
        <w:rPr>
          <w:rFonts w:ascii="Arial" w:hAnsi="Arial" w:cs="Arial"/>
          <w:sz w:val="20"/>
          <w:szCs w:val="20"/>
        </w:rPr>
        <w:t>pdf</w:t>
      </w:r>
      <w:proofErr w:type="spellEnd"/>
      <w:r w:rsidRPr="00046583">
        <w:rPr>
          <w:rFonts w:ascii="Arial" w:hAnsi="Arial" w:cs="Arial"/>
          <w:sz w:val="20"/>
          <w:szCs w:val="20"/>
        </w:rPr>
        <w:t xml:space="preserve"> </w:t>
      </w:r>
    </w:p>
    <w:p w:rsidR="00046583" w:rsidRPr="00046583" w:rsidRDefault="00046583" w:rsidP="0004658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Oceněný soupis prací – 1x v digitální ve formátu *.</w:t>
      </w:r>
      <w:proofErr w:type="spellStart"/>
      <w:r w:rsidRPr="00046583">
        <w:rPr>
          <w:rFonts w:ascii="Arial" w:hAnsi="Arial" w:cs="Arial"/>
          <w:sz w:val="20"/>
          <w:szCs w:val="20"/>
        </w:rPr>
        <w:t>xls</w:t>
      </w:r>
      <w:proofErr w:type="spellEnd"/>
      <w:r w:rsidRPr="00046583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046583">
        <w:rPr>
          <w:rFonts w:ascii="Arial" w:hAnsi="Arial" w:cs="Arial"/>
          <w:sz w:val="20"/>
          <w:szCs w:val="20"/>
        </w:rPr>
        <w:t>pdf</w:t>
      </w:r>
      <w:proofErr w:type="spellEnd"/>
      <w:r w:rsidRPr="00046583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046583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046583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046583">
        <w:rPr>
          <w:rFonts w:ascii="Arial" w:hAnsi="Arial" w:cs="Arial"/>
          <w:sz w:val="20"/>
          <w:szCs w:val="20"/>
        </w:rPr>
        <w:t>Esticonu</w:t>
      </w:r>
      <w:proofErr w:type="spellEnd"/>
      <w:r w:rsidRPr="00046583">
        <w:rPr>
          <w:rFonts w:ascii="Arial" w:hAnsi="Arial" w:cs="Arial"/>
          <w:sz w:val="20"/>
          <w:szCs w:val="20"/>
        </w:rPr>
        <w:t xml:space="preserve"> v datovém předpisu XC4)</w:t>
      </w:r>
    </w:p>
    <w:p w:rsidR="00046583" w:rsidRPr="00046583" w:rsidRDefault="00046583" w:rsidP="00046583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Neoceněný soupis prací – 1x v digitální ve formátu *.</w:t>
      </w:r>
      <w:proofErr w:type="spellStart"/>
      <w:r w:rsidRPr="00046583">
        <w:rPr>
          <w:rFonts w:ascii="Arial" w:hAnsi="Arial" w:cs="Arial"/>
          <w:sz w:val="20"/>
          <w:szCs w:val="20"/>
        </w:rPr>
        <w:t>xls</w:t>
      </w:r>
      <w:proofErr w:type="spellEnd"/>
      <w:r w:rsidRPr="00046583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046583">
        <w:rPr>
          <w:rFonts w:ascii="Arial" w:hAnsi="Arial" w:cs="Arial"/>
          <w:sz w:val="20"/>
          <w:szCs w:val="20"/>
        </w:rPr>
        <w:t>pdf</w:t>
      </w:r>
      <w:proofErr w:type="spellEnd"/>
      <w:r w:rsidRPr="00046583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046583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046583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046583">
        <w:rPr>
          <w:rFonts w:ascii="Arial" w:hAnsi="Arial" w:cs="Arial"/>
          <w:sz w:val="20"/>
          <w:szCs w:val="20"/>
        </w:rPr>
        <w:t>Esticonu</w:t>
      </w:r>
      <w:proofErr w:type="spellEnd"/>
      <w:r w:rsidRPr="00046583">
        <w:rPr>
          <w:rFonts w:ascii="Arial" w:hAnsi="Arial" w:cs="Arial"/>
          <w:sz w:val="20"/>
          <w:szCs w:val="20"/>
        </w:rPr>
        <w:t xml:space="preserve"> v datovém předpisu XC4)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Tahoma" w:hAnsi="Tahoma" w:cs="Tahoma"/>
          <w:sz w:val="20"/>
          <w:szCs w:val="20"/>
        </w:rPr>
        <w:t>⁕</w:t>
      </w:r>
      <w:r w:rsidRPr="00046583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Digitální podoba projektové dokumentace bude předána na nosiči CD v plném rozsahu tištěné podoby. 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9" w:history="1">
        <w:r w:rsidRPr="00046583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046583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046583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046583">
        <w:rPr>
          <w:rFonts w:ascii="Arial" w:hAnsi="Arial" w:cs="Arial"/>
          <w:sz w:val="20"/>
          <w:szCs w:val="20"/>
        </w:rPr>
        <w:t xml:space="preserve">“. </w:t>
      </w:r>
    </w:p>
    <w:p w:rsidR="00046583" w:rsidRDefault="00046583" w:rsidP="0004658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046583" w:rsidRDefault="00046583" w:rsidP="0004658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046583" w:rsidRPr="00046583" w:rsidRDefault="00046583" w:rsidP="00046583">
      <w:pPr>
        <w:rPr>
          <w:rFonts w:ascii="Arial" w:hAnsi="Arial" w:cs="Arial"/>
          <w:b/>
          <w:sz w:val="20"/>
          <w:szCs w:val="20"/>
          <w:u w:val="single"/>
        </w:rPr>
      </w:pPr>
      <w:r w:rsidRPr="00046583">
        <w:rPr>
          <w:rFonts w:ascii="Arial" w:hAnsi="Arial" w:cs="Arial"/>
          <w:b/>
          <w:sz w:val="20"/>
          <w:szCs w:val="20"/>
          <w:u w:val="single"/>
        </w:rPr>
        <w:t>Výkon dozoru projektanta</w:t>
      </w:r>
    </w:p>
    <w:p w:rsidR="00046583" w:rsidRPr="00046583" w:rsidRDefault="00046583" w:rsidP="00046583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046583">
        <w:rPr>
          <w:rFonts w:ascii="Arial" w:hAnsi="Arial" w:cs="Arial"/>
          <w:sz w:val="20"/>
        </w:rPr>
        <w:t xml:space="preserve">Výkonem dozoru projektanta se rozumí uskutečnění činností předpokládaných obecně závaznými právními předpisy a vyžadovaných objektivní stavebně-technickou situací, jakožto součinnost autora při realizaci stavby podle zpracovaného projektu. V rámci výkonu dozoru projektanta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046583" w:rsidRPr="00046583" w:rsidRDefault="00046583" w:rsidP="00046583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046583">
        <w:rPr>
          <w:rFonts w:ascii="Arial" w:hAnsi="Arial" w:cs="Arial"/>
          <w:sz w:val="20"/>
        </w:rPr>
        <w:t>Zhotovitel je povinen při plnění dozoru projektanta poskytnout svoji součinnost vždy bezodkladně poté, kdy bude k tomu zadavatelem vyzván nebo poté, kdy takovou potřebu sám zjistí.</w:t>
      </w:r>
    </w:p>
    <w:p w:rsidR="00046583" w:rsidRPr="00046583" w:rsidRDefault="00046583" w:rsidP="00046583">
      <w:pPr>
        <w:pStyle w:val="Zkladntextodsazen21"/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046583">
        <w:rPr>
          <w:rFonts w:ascii="Arial" w:hAnsi="Arial" w:cs="Arial"/>
          <w:b/>
          <w:sz w:val="20"/>
        </w:rPr>
        <w:t>Předmětem výkonu dozoru projektanta je především:</w:t>
      </w:r>
    </w:p>
    <w:p w:rsidR="00046583" w:rsidRPr="00046583" w:rsidRDefault="00046583" w:rsidP="0004658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účastnit se předání staveniště zhotoviteli</w:t>
      </w:r>
    </w:p>
    <w:p w:rsidR="00046583" w:rsidRPr="00046583" w:rsidRDefault="00046583" w:rsidP="0004658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dohled nad realizací díla</w:t>
      </w:r>
    </w:p>
    <w:p w:rsidR="00046583" w:rsidRPr="00046583" w:rsidRDefault="00046583" w:rsidP="0004658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kontrola dodržování projektové dokumentace s přihlédnutím na podmínky určené povolením stavby, souhlasem stavebního úřadu, případně nařízením nezbytných stavebních úprav</w:t>
      </w:r>
    </w:p>
    <w:p w:rsidR="00046583" w:rsidRPr="00046583" w:rsidRDefault="00046583" w:rsidP="0004658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046583" w:rsidRPr="00046583" w:rsidRDefault="00046583" w:rsidP="0004658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046583" w:rsidRPr="00046583" w:rsidRDefault="00046583" w:rsidP="00046583">
      <w:pPr>
        <w:pStyle w:val="Odstavecseseznamem"/>
        <w:numPr>
          <w:ilvl w:val="0"/>
          <w:numId w:val="24"/>
        </w:num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v případě nutnosti zpracování změny záměru před dokončením dle § 224 stavebního zákona v platném znění, která je součástí výkonu dozoru projektanta jako autora díla, neprodleně po tomto zjištění zahájit projekční práce včetně zajištění všech příslušných vyjádření a dokladů nezbytných k podání žádosti dle § 184 Stavebního zákona v platném </w:t>
      </w:r>
      <w:proofErr w:type="gramStart"/>
      <w:r w:rsidRPr="00046583">
        <w:rPr>
          <w:rFonts w:ascii="Arial" w:hAnsi="Arial" w:cs="Arial"/>
          <w:sz w:val="20"/>
          <w:szCs w:val="20"/>
        </w:rPr>
        <w:t>znění  a dále</w:t>
      </w:r>
      <w:proofErr w:type="gramEnd"/>
      <w:r w:rsidRPr="00046583">
        <w:rPr>
          <w:rFonts w:ascii="Arial" w:hAnsi="Arial" w:cs="Arial"/>
          <w:sz w:val="20"/>
          <w:szCs w:val="20"/>
        </w:rPr>
        <w:t xml:space="preserve"> podání žádosti včetně všech příloh na příslušný stavební úřad. </w:t>
      </w:r>
      <w:r w:rsidRPr="00046583">
        <w:rPr>
          <w:rFonts w:ascii="Arial" w:hAnsi="Arial" w:cs="Arial"/>
          <w:bCs/>
          <w:sz w:val="20"/>
          <w:szCs w:val="20"/>
        </w:rPr>
        <w:t>Před podáním žádostí na příslušný stavební úřad je zhotovitel povinen odsouhlasit si tyto žádosti včetně všech příloh se zástupci objednatele</w:t>
      </w:r>
    </w:p>
    <w:p w:rsidR="00046583" w:rsidRPr="00046583" w:rsidRDefault="00046583" w:rsidP="0004658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046583" w:rsidRPr="00046583" w:rsidRDefault="00046583" w:rsidP="0004658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046583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046583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046583" w:rsidRPr="00046583" w:rsidRDefault="00046583" w:rsidP="0004658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046583" w:rsidRPr="00046583" w:rsidRDefault="00046583" w:rsidP="0004658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046583" w:rsidRPr="00046583" w:rsidRDefault="00046583" w:rsidP="0004658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046583" w:rsidRPr="00046583" w:rsidRDefault="00046583" w:rsidP="0004658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046583" w:rsidRPr="00046583" w:rsidRDefault="00046583" w:rsidP="0004658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046583" w:rsidRPr="00046583" w:rsidRDefault="00046583" w:rsidP="0004658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046583" w:rsidRPr="00046583" w:rsidRDefault="00046583" w:rsidP="00046583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046583" w:rsidRPr="00046583" w:rsidRDefault="00046583" w:rsidP="00046583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046583">
        <w:rPr>
          <w:rFonts w:ascii="Arial" w:hAnsi="Arial" w:cs="Arial"/>
          <w:iCs/>
          <w:sz w:val="20"/>
        </w:rPr>
        <w:t>Zjistí-li autor při výkonu dozoru projektanta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 xml:space="preserve">Dozor projektanta bude vykonáván na vyžádání ze strany zadavatele. Předmět, termín a místo výkonu dozoru projektanta budou dohodnuty vždy individuálně při každé výzvě zadavatele. </w:t>
      </w: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046583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046583" w:rsidRPr="00046583" w:rsidRDefault="00046583" w:rsidP="00046583">
      <w:pPr>
        <w:rPr>
          <w:rFonts w:ascii="Arial" w:hAnsi="Arial" w:cs="Arial"/>
          <w:bCs/>
          <w:sz w:val="20"/>
          <w:szCs w:val="20"/>
        </w:rPr>
      </w:pPr>
      <w:r w:rsidRPr="00046583">
        <w:rPr>
          <w:rFonts w:ascii="Arial" w:hAnsi="Arial" w:cs="Arial"/>
          <w:sz w:val="20"/>
          <w:szCs w:val="20"/>
        </w:rPr>
        <w:t>Místo stavby – Kraj Vysočina, okres Třebíč</w:t>
      </w:r>
      <w:r w:rsidRPr="0004658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046583">
        <w:rPr>
          <w:rFonts w:ascii="Arial" w:hAnsi="Arial" w:cs="Arial"/>
          <w:bCs/>
          <w:sz w:val="20"/>
          <w:szCs w:val="20"/>
        </w:rPr>
        <w:t xml:space="preserve">k. </w:t>
      </w:r>
      <w:proofErr w:type="spellStart"/>
      <w:r w:rsidRPr="00046583">
        <w:rPr>
          <w:rFonts w:ascii="Arial" w:hAnsi="Arial" w:cs="Arial"/>
          <w:bCs/>
          <w:sz w:val="20"/>
          <w:szCs w:val="20"/>
        </w:rPr>
        <w:t>ú.</w:t>
      </w:r>
      <w:proofErr w:type="spellEnd"/>
      <w:r w:rsidRPr="00046583">
        <w:rPr>
          <w:rFonts w:ascii="Arial" w:hAnsi="Arial" w:cs="Arial"/>
          <w:bCs/>
          <w:sz w:val="20"/>
          <w:szCs w:val="20"/>
        </w:rPr>
        <w:t xml:space="preserve"> Okříšky</w:t>
      </w:r>
    </w:p>
    <w:p w:rsidR="00046583" w:rsidRDefault="00046583" w:rsidP="00046583">
      <w:pPr>
        <w:rPr>
          <w:rFonts w:ascii="Arial" w:hAnsi="Arial" w:cs="Arial"/>
          <w:sz w:val="20"/>
          <w:szCs w:val="20"/>
        </w:rPr>
      </w:pPr>
    </w:p>
    <w:p w:rsidR="00046583" w:rsidRPr="00046583" w:rsidRDefault="00046583" w:rsidP="00046583">
      <w:pPr>
        <w:rPr>
          <w:rFonts w:ascii="Arial" w:hAnsi="Arial" w:cs="Arial"/>
          <w:sz w:val="20"/>
          <w:szCs w:val="20"/>
        </w:rPr>
      </w:pPr>
    </w:p>
    <w:p w:rsidR="00046583" w:rsidRPr="00046583" w:rsidRDefault="00046583" w:rsidP="0004658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046583">
        <w:rPr>
          <w:rFonts w:ascii="Arial" w:hAnsi="Arial" w:cs="Arial"/>
          <w:b/>
          <w:sz w:val="20"/>
          <w:szCs w:val="20"/>
          <w:u w:val="single"/>
        </w:rPr>
        <w:t>Lhůty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956"/>
        <w:gridCol w:w="3390"/>
      </w:tblGrid>
      <w:tr w:rsidR="00046583" w:rsidRPr="00046583" w:rsidTr="009C715A">
        <w:tc>
          <w:tcPr>
            <w:tcW w:w="4642" w:type="dxa"/>
            <w:shd w:val="clear" w:color="auto" w:fill="auto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</w:rPr>
              <w:t>Zahájení realizace</w:t>
            </w:r>
          </w:p>
        </w:tc>
        <w:tc>
          <w:tcPr>
            <w:tcW w:w="4646" w:type="dxa"/>
            <w:shd w:val="clear" w:color="auto" w:fill="auto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</w:rPr>
              <w:t>ihned po nabytí účinnosti smlouvy</w:t>
            </w:r>
          </w:p>
        </w:tc>
      </w:tr>
      <w:tr w:rsidR="00046583" w:rsidRPr="00046583" w:rsidTr="009C715A">
        <w:tc>
          <w:tcPr>
            <w:tcW w:w="4642" w:type="dxa"/>
            <w:shd w:val="clear" w:color="auto" w:fill="auto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IG průzkum a návrh technického řešení</w:t>
            </w:r>
          </w:p>
        </w:tc>
        <w:tc>
          <w:tcPr>
            <w:tcW w:w="4646" w:type="dxa"/>
            <w:shd w:val="clear" w:color="auto" w:fill="auto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 90 dnů od nabytí účinnosti smlouvy</w:t>
            </w:r>
          </w:p>
        </w:tc>
      </w:tr>
      <w:tr w:rsidR="00046583" w:rsidRPr="00046583" w:rsidTr="009C715A">
        <w:tc>
          <w:tcPr>
            <w:tcW w:w="4642" w:type="dxa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</w:rPr>
              <w:t>Dokumentace DPS (koncept)</w:t>
            </w:r>
          </w:p>
        </w:tc>
        <w:tc>
          <w:tcPr>
            <w:tcW w:w="4646" w:type="dxa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</w:rPr>
              <w:t>do 120 dnů od nabytí účinnosti smlouvy</w:t>
            </w:r>
          </w:p>
        </w:tc>
      </w:tr>
      <w:tr w:rsidR="00046583" w:rsidRPr="00046583" w:rsidTr="009C715A">
        <w:tc>
          <w:tcPr>
            <w:tcW w:w="4642" w:type="dxa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</w:rPr>
              <w:t>Dokumentace DPS (čistopis, odsouhlasený objednatelem)</w:t>
            </w:r>
          </w:p>
        </w:tc>
        <w:tc>
          <w:tcPr>
            <w:tcW w:w="4646" w:type="dxa"/>
            <w:shd w:val="clear" w:color="auto" w:fill="auto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</w:rPr>
              <w:t>do 60 dnů od předání konceptu</w:t>
            </w:r>
          </w:p>
        </w:tc>
      </w:tr>
      <w:tr w:rsidR="00046583" w:rsidRPr="00046583" w:rsidTr="009C715A">
        <w:tc>
          <w:tcPr>
            <w:tcW w:w="4642" w:type="dxa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</w:rPr>
              <w:t>Podání žádosti o povolení záměru</w:t>
            </w:r>
          </w:p>
        </w:tc>
        <w:tc>
          <w:tcPr>
            <w:tcW w:w="4646" w:type="dxa"/>
            <w:shd w:val="clear" w:color="auto" w:fill="auto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</w:rPr>
              <w:t xml:space="preserve">do 30 dnů od dokončení IČ </w:t>
            </w:r>
          </w:p>
        </w:tc>
      </w:tr>
      <w:tr w:rsidR="00046583" w:rsidRPr="00046583" w:rsidTr="009C715A">
        <w:tc>
          <w:tcPr>
            <w:tcW w:w="4642" w:type="dxa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</w:rPr>
              <w:t>Dokumentace PDPS vč. rozpočtu (koncept)</w:t>
            </w:r>
          </w:p>
        </w:tc>
        <w:tc>
          <w:tcPr>
            <w:tcW w:w="4646" w:type="dxa"/>
            <w:shd w:val="clear" w:color="auto" w:fill="auto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</w:rPr>
              <w:t>do 30 dnů od vydání povolení záměru</w:t>
            </w:r>
          </w:p>
        </w:tc>
      </w:tr>
      <w:tr w:rsidR="00046583" w:rsidRPr="00046583" w:rsidTr="009C715A">
        <w:tc>
          <w:tcPr>
            <w:tcW w:w="4642" w:type="dxa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</w:rPr>
              <w:t>Dokumentace PDPS vč. rozpočtu (čistopis, odsouhlasený objednatelem)</w:t>
            </w:r>
          </w:p>
        </w:tc>
        <w:tc>
          <w:tcPr>
            <w:tcW w:w="4646" w:type="dxa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</w:rPr>
              <w:t>do 60 dnů od vydání pravomocného povolení</w:t>
            </w:r>
          </w:p>
        </w:tc>
      </w:tr>
      <w:tr w:rsidR="00046583" w:rsidRPr="00046583" w:rsidTr="009C715A">
        <w:tc>
          <w:tcPr>
            <w:tcW w:w="4642" w:type="dxa"/>
            <w:shd w:val="clear" w:color="auto" w:fill="auto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</w:rPr>
              <w:t>Předpoklad zahájení dozoru projektanta</w:t>
            </w:r>
          </w:p>
        </w:tc>
        <w:tc>
          <w:tcPr>
            <w:tcW w:w="4646" w:type="dxa"/>
            <w:shd w:val="clear" w:color="auto" w:fill="auto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</w:rPr>
              <w:t>do 60 měsíců od předání čistopisu PDPS</w:t>
            </w:r>
          </w:p>
        </w:tc>
      </w:tr>
      <w:tr w:rsidR="00046583" w:rsidRPr="00046583" w:rsidTr="009C715A">
        <w:tc>
          <w:tcPr>
            <w:tcW w:w="4642" w:type="dxa"/>
            <w:shd w:val="clear" w:color="auto" w:fill="auto"/>
          </w:tcPr>
          <w:p w:rsidR="00046583" w:rsidRPr="00046583" w:rsidRDefault="00046583" w:rsidP="009C715A">
            <w:pPr>
              <w:overflowPunct w:val="0"/>
              <w:autoSpaceDE w:val="0"/>
              <w:autoSpaceDN w:val="0"/>
              <w:adjustRightInd w:val="0"/>
              <w:ind w:left="4950" w:hanging="495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Změna záměru (čistopis, včetně soupisů </w:t>
            </w:r>
          </w:p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prací, odsouhlasený objednatelem a TDS)                </w:t>
            </w:r>
          </w:p>
        </w:tc>
        <w:tc>
          <w:tcPr>
            <w:tcW w:w="4646" w:type="dxa"/>
            <w:shd w:val="clear" w:color="auto" w:fill="auto"/>
          </w:tcPr>
          <w:p w:rsidR="00046583" w:rsidRPr="00046583" w:rsidRDefault="00046583" w:rsidP="009C715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658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 15 dnů od zjištění, následně neprodleně zajistit ostatní požadované přílohy (pokud během stavby nastane změna záměru)</w:t>
            </w:r>
          </w:p>
        </w:tc>
      </w:tr>
    </w:tbl>
    <w:p w:rsidR="00046583" w:rsidRPr="00046583" w:rsidRDefault="00046583" w:rsidP="00046583">
      <w:pPr>
        <w:spacing w:before="24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:rsidR="00BB33A9" w:rsidRPr="00046583" w:rsidRDefault="00BB33A9" w:rsidP="00046583">
      <w:pPr>
        <w:tabs>
          <w:tab w:val="left" w:pos="1134"/>
        </w:tabs>
        <w:spacing w:before="240" w:after="240"/>
        <w:jc w:val="both"/>
        <w:rPr>
          <w:rFonts w:ascii="Arial" w:hAnsi="Arial" w:cs="Arial"/>
          <w:b/>
          <w:sz w:val="20"/>
          <w:szCs w:val="20"/>
          <w:u w:val="single"/>
        </w:rPr>
      </w:pPr>
    </w:p>
    <w:sectPr w:rsidR="00BB33A9" w:rsidRPr="00046583" w:rsidSect="0034703B">
      <w:headerReference w:type="default" r:id="rId10"/>
      <w:footerReference w:type="default" r:id="rId11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5F3968">
      <w:rPr>
        <w:rFonts w:ascii="Arial" w:hAnsi="Arial" w:cs="Arial"/>
        <w:b/>
        <w:noProof/>
        <w:sz w:val="16"/>
        <w:szCs w:val="16"/>
      </w:rPr>
      <w:t>5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5F3968">
      <w:rPr>
        <w:rFonts w:ascii="Arial" w:hAnsi="Arial" w:cs="Arial"/>
        <w:b/>
        <w:noProof/>
        <w:sz w:val="16"/>
        <w:szCs w:val="16"/>
      </w:rPr>
      <w:t>5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0862833"/>
    <w:multiLevelType w:val="hybridMultilevel"/>
    <w:tmpl w:val="53EE87E6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D01FCAD7"/>
    <w:multiLevelType w:val="hybridMultilevel"/>
    <w:tmpl w:val="9DCF10E4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560F4"/>
    <w:multiLevelType w:val="multilevel"/>
    <w:tmpl w:val="8E585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61678"/>
    <w:multiLevelType w:val="multilevel"/>
    <w:tmpl w:val="38068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07031"/>
    <w:multiLevelType w:val="hybridMultilevel"/>
    <w:tmpl w:val="89309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59230F"/>
    <w:multiLevelType w:val="multilevel"/>
    <w:tmpl w:val="390E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FE6AC6"/>
    <w:multiLevelType w:val="multilevel"/>
    <w:tmpl w:val="DD7ED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5" w15:restartNumberingAfterBreak="0">
    <w:nsid w:val="53773366"/>
    <w:multiLevelType w:val="multilevel"/>
    <w:tmpl w:val="0046F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034D6F"/>
    <w:multiLevelType w:val="multilevel"/>
    <w:tmpl w:val="C4CAE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6D7935"/>
    <w:multiLevelType w:val="multilevel"/>
    <w:tmpl w:val="5280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31"/>
  </w:num>
  <w:num w:numId="3">
    <w:abstractNumId w:val="2"/>
  </w:num>
  <w:num w:numId="4">
    <w:abstractNumId w:val="20"/>
  </w:num>
  <w:num w:numId="5">
    <w:abstractNumId w:val="15"/>
  </w:num>
  <w:num w:numId="6">
    <w:abstractNumId w:val="19"/>
  </w:num>
  <w:num w:numId="7">
    <w:abstractNumId w:val="17"/>
  </w:num>
  <w:num w:numId="8">
    <w:abstractNumId w:val="8"/>
  </w:num>
  <w:num w:numId="9">
    <w:abstractNumId w:val="16"/>
  </w:num>
  <w:num w:numId="10">
    <w:abstractNumId w:val="7"/>
  </w:num>
  <w:num w:numId="11">
    <w:abstractNumId w:val="10"/>
  </w:num>
  <w:num w:numId="12">
    <w:abstractNumId w:val="4"/>
  </w:num>
  <w:num w:numId="13">
    <w:abstractNumId w:val="11"/>
  </w:num>
  <w:num w:numId="14">
    <w:abstractNumId w:val="32"/>
  </w:num>
  <w:num w:numId="15">
    <w:abstractNumId w:val="27"/>
  </w:num>
  <w:num w:numId="16">
    <w:abstractNumId w:val="5"/>
  </w:num>
  <w:num w:numId="17">
    <w:abstractNumId w:val="13"/>
  </w:num>
  <w:num w:numId="18">
    <w:abstractNumId w:val="33"/>
  </w:num>
  <w:num w:numId="19">
    <w:abstractNumId w:val="26"/>
  </w:num>
  <w:num w:numId="20">
    <w:abstractNumId w:val="23"/>
  </w:num>
  <w:num w:numId="21">
    <w:abstractNumId w:val="6"/>
  </w:num>
  <w:num w:numId="22">
    <w:abstractNumId w:val="28"/>
  </w:num>
  <w:num w:numId="23">
    <w:abstractNumId w:val="24"/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8"/>
  </w:num>
  <w:num w:numId="27">
    <w:abstractNumId w:val="29"/>
  </w:num>
  <w:num w:numId="28">
    <w:abstractNumId w:val="30"/>
  </w:num>
  <w:num w:numId="29">
    <w:abstractNumId w:val="3"/>
  </w:num>
  <w:num w:numId="30">
    <w:abstractNumId w:val="21"/>
  </w:num>
  <w:num w:numId="31">
    <w:abstractNumId w:val="25"/>
  </w:num>
  <w:num w:numId="32">
    <w:abstractNumId w:val="18"/>
  </w:num>
  <w:num w:numId="33">
    <w:abstractNumId w:val="9"/>
  </w:num>
  <w:num w:numId="34">
    <w:abstractNumId w:val="34"/>
  </w:num>
  <w:num w:numId="35">
    <w:abstractNumId w:val="12"/>
  </w:num>
  <w:num w:numId="36">
    <w:abstractNumId w:val="1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1297C"/>
    <w:rsid w:val="00031B59"/>
    <w:rsid w:val="00032DF2"/>
    <w:rsid w:val="00033EC2"/>
    <w:rsid w:val="00046583"/>
    <w:rsid w:val="00077603"/>
    <w:rsid w:val="00091A0B"/>
    <w:rsid w:val="00105330"/>
    <w:rsid w:val="001310C6"/>
    <w:rsid w:val="00143858"/>
    <w:rsid w:val="00150F88"/>
    <w:rsid w:val="00153F4E"/>
    <w:rsid w:val="0016103B"/>
    <w:rsid w:val="001632A3"/>
    <w:rsid w:val="00167A1E"/>
    <w:rsid w:val="00172C17"/>
    <w:rsid w:val="00174D7F"/>
    <w:rsid w:val="001B46DA"/>
    <w:rsid w:val="001C3BF8"/>
    <w:rsid w:val="001C4EBD"/>
    <w:rsid w:val="001C5F54"/>
    <w:rsid w:val="001C7DD6"/>
    <w:rsid w:val="001E3591"/>
    <w:rsid w:val="001E3B69"/>
    <w:rsid w:val="001F1E8D"/>
    <w:rsid w:val="00201C8A"/>
    <w:rsid w:val="00206A81"/>
    <w:rsid w:val="00207AAA"/>
    <w:rsid w:val="0021028E"/>
    <w:rsid w:val="00227F69"/>
    <w:rsid w:val="00245CC3"/>
    <w:rsid w:val="0024717C"/>
    <w:rsid w:val="002505CD"/>
    <w:rsid w:val="002715B4"/>
    <w:rsid w:val="00272769"/>
    <w:rsid w:val="002819DD"/>
    <w:rsid w:val="00294439"/>
    <w:rsid w:val="002A2808"/>
    <w:rsid w:val="002A70F8"/>
    <w:rsid w:val="002C3FF4"/>
    <w:rsid w:val="002D116F"/>
    <w:rsid w:val="002D2AC8"/>
    <w:rsid w:val="003012C4"/>
    <w:rsid w:val="00317A3B"/>
    <w:rsid w:val="0032208A"/>
    <w:rsid w:val="00322187"/>
    <w:rsid w:val="00335791"/>
    <w:rsid w:val="0034703B"/>
    <w:rsid w:val="00355D64"/>
    <w:rsid w:val="003634A2"/>
    <w:rsid w:val="00395D4F"/>
    <w:rsid w:val="003A6635"/>
    <w:rsid w:val="003B523E"/>
    <w:rsid w:val="003C0016"/>
    <w:rsid w:val="003C5BC7"/>
    <w:rsid w:val="003D36F1"/>
    <w:rsid w:val="00405F21"/>
    <w:rsid w:val="00413BFA"/>
    <w:rsid w:val="004177E6"/>
    <w:rsid w:val="00433246"/>
    <w:rsid w:val="0043662A"/>
    <w:rsid w:val="00437E4E"/>
    <w:rsid w:val="00457474"/>
    <w:rsid w:val="0047400F"/>
    <w:rsid w:val="00487EB6"/>
    <w:rsid w:val="004B1D1B"/>
    <w:rsid w:val="004B2925"/>
    <w:rsid w:val="004B3A5B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96975"/>
    <w:rsid w:val="005A2999"/>
    <w:rsid w:val="005A3E25"/>
    <w:rsid w:val="005B1FC8"/>
    <w:rsid w:val="005E469A"/>
    <w:rsid w:val="005E59F4"/>
    <w:rsid w:val="005E65B7"/>
    <w:rsid w:val="005F3968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6B7CDC"/>
    <w:rsid w:val="00723546"/>
    <w:rsid w:val="007349F9"/>
    <w:rsid w:val="007462B8"/>
    <w:rsid w:val="007524A0"/>
    <w:rsid w:val="00756EC0"/>
    <w:rsid w:val="0076591D"/>
    <w:rsid w:val="00771D72"/>
    <w:rsid w:val="00781C90"/>
    <w:rsid w:val="007908F6"/>
    <w:rsid w:val="00794F75"/>
    <w:rsid w:val="007D1374"/>
    <w:rsid w:val="007E6FEB"/>
    <w:rsid w:val="007F411D"/>
    <w:rsid w:val="007F463F"/>
    <w:rsid w:val="008023D2"/>
    <w:rsid w:val="00817C5F"/>
    <w:rsid w:val="008209FA"/>
    <w:rsid w:val="00836C76"/>
    <w:rsid w:val="00844B90"/>
    <w:rsid w:val="00847C98"/>
    <w:rsid w:val="0085017D"/>
    <w:rsid w:val="008661DA"/>
    <w:rsid w:val="008742AE"/>
    <w:rsid w:val="0088286F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92D71"/>
    <w:rsid w:val="009B0C47"/>
    <w:rsid w:val="009B37C8"/>
    <w:rsid w:val="009E174F"/>
    <w:rsid w:val="009E5449"/>
    <w:rsid w:val="00A02A92"/>
    <w:rsid w:val="00A02C1A"/>
    <w:rsid w:val="00A111D2"/>
    <w:rsid w:val="00A22581"/>
    <w:rsid w:val="00A258B6"/>
    <w:rsid w:val="00A333AD"/>
    <w:rsid w:val="00A44DF5"/>
    <w:rsid w:val="00A63D56"/>
    <w:rsid w:val="00A93CA0"/>
    <w:rsid w:val="00AA14FB"/>
    <w:rsid w:val="00AA21EC"/>
    <w:rsid w:val="00AA42F6"/>
    <w:rsid w:val="00AA667C"/>
    <w:rsid w:val="00AA76D7"/>
    <w:rsid w:val="00AB286A"/>
    <w:rsid w:val="00AC4AB1"/>
    <w:rsid w:val="00AE7DD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B33A9"/>
    <w:rsid w:val="00BD08E8"/>
    <w:rsid w:val="00BD2DC3"/>
    <w:rsid w:val="00BE3B79"/>
    <w:rsid w:val="00BF4645"/>
    <w:rsid w:val="00C040A0"/>
    <w:rsid w:val="00C0508D"/>
    <w:rsid w:val="00C34F5B"/>
    <w:rsid w:val="00C52667"/>
    <w:rsid w:val="00C65520"/>
    <w:rsid w:val="00CB1CE3"/>
    <w:rsid w:val="00CF3EA0"/>
    <w:rsid w:val="00D1051F"/>
    <w:rsid w:val="00D21D1B"/>
    <w:rsid w:val="00D21DBE"/>
    <w:rsid w:val="00D24A4F"/>
    <w:rsid w:val="00D27F79"/>
    <w:rsid w:val="00D36F3C"/>
    <w:rsid w:val="00D55D6F"/>
    <w:rsid w:val="00D674D6"/>
    <w:rsid w:val="00D83014"/>
    <w:rsid w:val="00D9018D"/>
    <w:rsid w:val="00DA4DDF"/>
    <w:rsid w:val="00DA5742"/>
    <w:rsid w:val="00DB70B1"/>
    <w:rsid w:val="00DE107F"/>
    <w:rsid w:val="00DF3229"/>
    <w:rsid w:val="00E02F34"/>
    <w:rsid w:val="00E07484"/>
    <w:rsid w:val="00E12753"/>
    <w:rsid w:val="00E26473"/>
    <w:rsid w:val="00E336FE"/>
    <w:rsid w:val="00E36ADA"/>
    <w:rsid w:val="00E720EA"/>
    <w:rsid w:val="00EA03AD"/>
    <w:rsid w:val="00EC5DCC"/>
    <w:rsid w:val="00ED28F8"/>
    <w:rsid w:val="00ED43D1"/>
    <w:rsid w:val="00EE2E2A"/>
    <w:rsid w:val="00EE4017"/>
    <w:rsid w:val="00F06AAB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B33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E65B7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B33A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iln">
    <w:name w:val="Strong"/>
    <w:basedOn w:val="Standardnpsmoodstavce"/>
    <w:uiPriority w:val="22"/>
    <w:qFormat/>
    <w:rsid w:val="00BB33A9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BB3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xc4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9A0DC-8BB9-4C09-926C-E6AFDF91D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2129</Words>
  <Characters>12566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47</cp:revision>
  <cp:lastPrinted>2024-04-18T12:32:00Z</cp:lastPrinted>
  <dcterms:created xsi:type="dcterms:W3CDTF">2024-07-19T07:39:00Z</dcterms:created>
  <dcterms:modified xsi:type="dcterms:W3CDTF">2025-11-26T14:47:00Z</dcterms:modified>
</cp:coreProperties>
</file>